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B2" w:rsidRPr="00205BD0" w:rsidRDefault="002E6CB2" w:rsidP="00205BD0">
      <w:pPr>
        <w:widowControl/>
        <w:spacing w:line="600" w:lineRule="atLeast"/>
        <w:jc w:val="center"/>
        <w:rPr>
          <w:rFonts w:ascii="Microsoft Yahei" w:hAnsi="Microsoft Yahei" w:cs="Microsoft Yahei"/>
          <w:b/>
          <w:bCs/>
          <w:color w:val="000000"/>
          <w:kern w:val="0"/>
          <w:sz w:val="32"/>
          <w:szCs w:val="32"/>
        </w:rPr>
      </w:pPr>
      <w:r w:rsidRPr="00205BD0">
        <w:rPr>
          <w:rFonts w:ascii="Microsoft Yahei" w:hAnsi="Microsoft Yahei" w:cs="Microsoft Yahei"/>
          <w:b/>
          <w:bCs/>
          <w:color w:val="000000"/>
          <w:kern w:val="0"/>
          <w:sz w:val="32"/>
          <w:szCs w:val="32"/>
        </w:rPr>
        <w:t>2015</w:t>
      </w:r>
      <w:r w:rsidRPr="00205BD0">
        <w:rPr>
          <w:rFonts w:ascii="Microsoft Yahei" w:hAnsi="Microsoft Yahei" w:cs="宋体" w:hint="eastAsia"/>
          <w:b/>
          <w:bCs/>
          <w:color w:val="000000"/>
          <w:kern w:val="0"/>
          <w:sz w:val="32"/>
          <w:szCs w:val="32"/>
        </w:rPr>
        <w:t>年第二季度全国星级饭店统计公报</w:t>
      </w:r>
    </w:p>
    <w:p w:rsidR="002E6CB2" w:rsidRPr="000164CD" w:rsidRDefault="002E6CB2" w:rsidP="00205BD0">
      <w:pPr>
        <w:widowControl/>
        <w:spacing w:before="100" w:beforeAutospacing="1" w:after="100" w:afterAutospacing="1" w:line="400" w:lineRule="atLeast"/>
        <w:jc w:val="left"/>
        <w:rPr>
          <w:rFonts w:ascii="宋体" w:cs="Times New Roman"/>
          <w:color w:val="000000"/>
          <w:kern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按此在新窗口浏览图片" href="http://www.chinahotel.org.cn/UploadFile/ea_201591104513." style="position:absolute;margin-left:-18pt;margin-top:171.6pt;width:477pt;height:206.7pt;z-index:-251661312;visibility:visible" wrapcoords="-34 0 -34 21522 21600 21522 21600 0 -34 0" o:button="t">
            <v:fill o:detectmouseclick="t"/>
            <v:imagedata r:id="rId4" o:title=""/>
            <w10:wrap type="tight"/>
          </v:shape>
        </w:pict>
      </w:r>
      <w:r w:rsidRPr="00205BD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一、总体</w:t>
      </w:r>
      <w:bookmarkStart w:id="0" w:name="_GoBack"/>
      <w:bookmarkEnd w:id="0"/>
      <w:r w:rsidRPr="00205BD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情况</w:t>
      </w:r>
      <w:r w:rsidRPr="00205BD0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在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12163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家星级饭店中，除停业的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881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家饭店外，有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11282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家完成了第二季度经营数据的填报，包括一星级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96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家、二星级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2507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家、三星级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5447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家、四星级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2424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家、五星级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808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家。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全国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11282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家星级饭店第二季度的营业收入合计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514.11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亿元，其中餐饮收入为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209.81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亿元，占营业收入的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40.81%;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客房收入为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241.17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亿元，占营业收入的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46.91%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2E6CB2" w:rsidRPr="00205BD0" w:rsidRDefault="002E6CB2" w:rsidP="00205BD0">
      <w:pPr>
        <w:widowControl/>
        <w:spacing w:before="100" w:beforeAutospacing="1" w:after="100" w:afterAutospacing="1" w:line="4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noProof/>
        </w:rPr>
        <w:pict>
          <v:shape id="图片 2" o:spid="_x0000_s1027" type="#_x0000_t75" alt="按此在新窗口浏览图片" href="http://www.chinahotel.org.cn/UploadFile/ea_201591104551." style="position:absolute;margin-left:-9pt;margin-top:81pt;width:459.6pt;height:187.2pt;z-index:-251660288;visibility:visible" wrapcoords="-35 0 -35 21514 21600 21514 21600 0 -35 0" o:button="t">
            <v:fill o:detectmouseclick="t"/>
            <v:imagedata r:id="rId5" o:title=""/>
            <w10:wrap type="tight"/>
          </v:shape>
        </w:pic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全国第二季度星级饭店平均房价为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331.49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间夜，平均出租率为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54.61%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，每间可供出租客房收入为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181.04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间夜，每间客房平摊营业收入为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33099.09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间。</w:t>
      </w:r>
    </w:p>
    <w:p w:rsidR="002E6CB2" w:rsidRPr="000164CD" w:rsidRDefault="002E6CB2" w:rsidP="00205BD0">
      <w:pPr>
        <w:widowControl/>
        <w:spacing w:before="100" w:beforeAutospacing="1" w:after="100" w:afterAutospacing="1" w:line="400" w:lineRule="atLeast"/>
        <w:jc w:val="left"/>
        <w:rPr>
          <w:rFonts w:ascii="宋体" w:cs="Times New Roman"/>
          <w:color w:val="000000"/>
          <w:kern w:val="0"/>
        </w:rPr>
      </w:pP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从第二季度各地区经营情况看，平均房价位居全国前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位的为上海、北京、海南、天津、广东和浙江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平均出租率位居前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位的为上海、湖南、北京、江苏、贵州和浙江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每间可供出租客房收入位居前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位的为上海、北京、广东、海南、浙江和天津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每间客房平摊营业收入位居前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位的为上海、北京、江苏、浙江、广东和福建。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205BD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二、各省区市分星级情况</w:t>
      </w:r>
      <w:r w:rsidRPr="000164CD">
        <w:rPr>
          <w:rFonts w:ascii="宋体" w:cs="Times New Roman"/>
          <w:b/>
          <w:bCs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一星级饭店：湖北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(4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、北京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和西藏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三地的平均房价在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间夜以上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平均房价最低的为广西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，不足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间夜。平均出租率超过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65%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的有湖南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、黑龙江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和湖北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(4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三地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四川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(3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的平均出租率最低。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二星级饭店：北京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(162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、上海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(30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、西藏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(22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、湖北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(143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和广东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(99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的平均房价均高于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海南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(8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和宁夏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两地平均房价最低，低于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间夜。上海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(30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的平均出租率最高，超过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70%;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黑龙江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(43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、新疆兵团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(11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和青海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(69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三地的平均出租率最低，不足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35%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三星级饭店：北京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(204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和上海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(74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两地的平均房价超过了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海南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和广西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(238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的平均房价最低，低于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150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间夜。平均出租率超过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65%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的，有湖南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(215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和上海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(74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两地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青海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(88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和内蒙古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(106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的平均出租率最低，不足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四星级饭店：上海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(68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的平均房价超过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间夜，北京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(132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的平均房价接近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山西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(48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和广西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的平均房价最低，低于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250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间夜。上海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(68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的平均出租率超过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70%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，湖南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(56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、重庆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(53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、北京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(132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、贵州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(57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和浙江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(176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的平均出租率超过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60%;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黑龙江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(50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、湖北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(133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、西藏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(20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、宁夏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(31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和新疆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(47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的平均出租率最低，低于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45%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五星级饭店：西藏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和上海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(65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两地的平均房价超过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平均房价低于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间夜的有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个省区市，其中山西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(15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最低，低于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400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间夜。平均出租率方面，湖南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、上海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(65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、北京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(62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、福建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(47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、陕西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(16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和贵州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都超过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，其中湖南为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71.67%;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甘肃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(4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最低，低于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详细数据请参见附件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4)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br/>
      </w:r>
      <w:r w:rsidRPr="00205BD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三、全国</w:t>
      </w:r>
      <w:r w:rsidRPr="00205BD0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50</w:t>
      </w:r>
      <w:r w:rsidRPr="00205BD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个重点旅游城市情况</w:t>
      </w:r>
      <w:r w:rsidRPr="00205BD0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全国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个重点旅游城市共有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4413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家饭店完成第二季度数据审核，占全国总数的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39.12%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从第二季度各城市经营情况看，平均房价位居前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位的分别为上海、三亚、北京、广州、深圳、厦门、杭州、成都、福州和苏州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平均出租率位居前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位的分别为长沙、上海、深圳、南京、丽江、贵阳、杭州、广州、福州和济南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每间可供出租客房收入位居前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位的分别为上海、三亚、深圳、广州、北京、长沙、厦门、杭州、福州和南京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每间客房平摊营业收入位居前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位的分别为上海、温州、北京、长沙、无锡、三亚、南京、广州、杭州和福州。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以上排序城市不包</w:t>
      </w:r>
      <w:r>
        <w:rPr>
          <w:noProof/>
        </w:rPr>
        <w:pict>
          <v:shape id="图片 3" o:spid="_x0000_s1028" type="#_x0000_t75" alt="按此在新窗口浏览图片" href="http://www.chinahotel.org.cn/UploadFile/ea_201591104643." style="position:absolute;margin-left:-27pt;margin-top:132.6pt;width:479.4pt;height:242.4pt;z-index:-251659264;visibility:visible;mso-position-horizontal-relative:text;mso-position-vertical-relative:text" wrapcoords="-34 0 -34 21533 21600 21533 21600 0 -34 0" o:button="t">
            <v:fill o:detectmouseclick="t"/>
            <v:imagedata r:id="rId6" o:title=""/>
            <w10:wrap type="tight"/>
          </v:shape>
        </w:pic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括填报率不足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的郑州、洛阳两市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2E6CB2" w:rsidRPr="000164CD" w:rsidRDefault="002E6CB2" w:rsidP="00205BD0">
      <w:pPr>
        <w:widowControl/>
        <w:spacing w:before="100" w:beforeAutospacing="1" w:after="100" w:afterAutospacing="1" w:line="400" w:lineRule="atLeast"/>
        <w:jc w:val="left"/>
        <w:rPr>
          <w:rFonts w:ascii="宋体" w:cs="Times New Roman"/>
          <w:color w:val="000000"/>
          <w:kern w:val="0"/>
        </w:rPr>
      </w:pPr>
      <w:r>
        <w:rPr>
          <w:noProof/>
        </w:rPr>
        <w:pict>
          <v:shape id="图片 4" o:spid="_x0000_s1029" type="#_x0000_t75" alt="按此在新窗口浏览图片" href="http://www.chinahotel.org.cn/UploadFile/ea_201591104716." style="position:absolute;margin-left:-27pt;margin-top:58.4pt;width:483.6pt;height:231pt;z-index:-251658240;visibility:visible" wrapcoords="-33 0 -33 21530 21600 21530 21600 0 -33 0" o:button="t">
            <v:fill o:detectmouseclick="t"/>
            <v:imagedata r:id="rId7" o:title=""/>
            <w10:wrap type="tight"/>
          </v:shape>
        </w:pict>
      </w:r>
      <w:r w:rsidRPr="000164C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　　四、比较分析</w:t>
      </w:r>
      <w:r w:rsidRPr="000164CD">
        <w:rPr>
          <w:rFonts w:ascii="宋体" w:cs="Times New Roman"/>
          <w:b/>
          <w:bCs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分星级比</w:t>
      </w:r>
    </w:p>
    <w:p w:rsidR="002E6CB2" w:rsidRPr="00DF3B24" w:rsidRDefault="002E6CB2" w:rsidP="00DF3B24">
      <w:pPr>
        <w:widowControl/>
        <w:spacing w:before="100" w:beforeAutospacing="1" w:after="100" w:afterAutospacing="1" w:line="400" w:lineRule="atLeas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noProof/>
        </w:rPr>
        <w:pict>
          <v:shape id="图片 5" o:spid="_x0000_s1030" type="#_x0000_t75" alt="按此在新窗口浏览图片" href="http://www.chinahotel.org.cn/UploadFile/ea_201591104716.pn" style="position:absolute;left:0;text-align:left;margin-left:-36pt;margin-top:491.4pt;width:483.6pt;height:216.6pt;z-index:-251656192;visibility:visible" wrapcoords="-33 0 -33 21525 21600 21525 21600 0 -33 0" o:button="t">
            <v:fill o:detectmouseclick="t"/>
            <v:imagedata r:id="rId8" o:title=""/>
            <w10:wrap type="tight"/>
          </v:shape>
        </w:pic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各省区市比较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与上季度相比，全国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25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个省区市的平均房价上升，其中新疆兵团增幅最大，为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25.28%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，其余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个省区市平均房价下降，其中海南省降幅最大，为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25.30%;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平均出租率指标比较中，除黑龙江和海南外，其余省份均上升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每间可供出租客房收入的比较中，除黑龙江和海南外，其余省份均上升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每间客房平摊营业收入的比较中，西藏增幅最大，为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42.56%;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海南降幅最明显，为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30.28%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与去年同期相比，有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15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个省区市的平均房价上升，其中新疆兵团增幅最大，为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11.12%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。其余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17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省区市平均房价下降，其中宁夏降幅最大，为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9.44%;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云南、吉林、四川等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13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个省区市的平均出租率上升，云南增幅最大，为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14.03%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，其余各地均有不同程度下降，西藏降幅最大，为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12.54%;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每间可供出租客房收入的比较中，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15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个省区市有增长，新疆兵团名列首位，为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12.58%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。下降的省份中，西藏降幅最大，为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19.05%;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每间客房平摊营业收入方面，广东、贵州、新疆兵团等增长均超过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，还有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16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个省区市有增长，其余各地均有不同程度下降。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详细数据请参见附件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3)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3. 50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个重点城市比较</w:t>
      </w:r>
      <w:r w:rsidRPr="000164CD">
        <w:rPr>
          <w:rFonts w:ascii="宋体" w:cs="Times New Roman"/>
          <w:color w:val="000000"/>
          <w:kern w:val="0"/>
          <w:sz w:val="24"/>
          <w:szCs w:val="24"/>
        </w:rPr>
        <w:br/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与上季度相比，平均房价增长前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名的城市为丽江、西安、青岛、西宁、黄山、广州、南宁、杭州、大连和上海，其中丽江增幅最大为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27.40%;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平均房价下降前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名的城市为三亚、哈尔滨、秦皇岛、珠海、海口、厦门、长春、成都、银川和北京，其中三亚降幅最大为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31.74%;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平均出租率环比增长前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名的城市为西宁、大连、丽江、青岛、银川、秦皇岛、桂林、东莞、杭州和宜昌，其中西宁增幅最大为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54.26%;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出租率环比下降明显的有三亚、海口和哈尔滨，其中三亚降幅最大为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22.56%;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每间可供出租客房收入环比增长前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的城市为西宁、丽江、青岛、西安、大连、黄山、杭州、宜昌、桂林和上海，其中西宁、丽江和青岛超过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50%;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三亚、哈尔滨、海口、长春、珠海、厦门每间可供出租客房收入下降，其中三亚下降明显，降幅超过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40%;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每间客房平摊营业环比收入增长前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的城市为丽江、广州、大连、西宁、青岛、黄山、西安、沈阳、宜昌和昆明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三亚、海口、珠海、哈尔滨等城市下降，其中三亚下降明显，降幅超过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35%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以上排序城市不包括填报率不足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的郑州、洛阳两市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2E6CB2" w:rsidRPr="000164CD" w:rsidRDefault="002E6CB2" w:rsidP="00205BD0">
      <w:pPr>
        <w:widowControl/>
        <w:spacing w:before="100" w:beforeAutospacing="1" w:after="100" w:afterAutospacing="1" w:line="400" w:lineRule="atLeast"/>
        <w:ind w:firstLine="480"/>
        <w:jc w:val="left"/>
        <w:rPr>
          <w:rFonts w:ascii="宋体" w:cs="Times New Roman"/>
          <w:color w:val="000000"/>
          <w:kern w:val="0"/>
        </w:rPr>
      </w:pP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与去年同期相比，平均房价增幅位居前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位的城市为三亚、丽江、宜昌、福州、上海、厦门、深圳、济南、西安和南京，其中三亚增幅最大为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18.15%;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降幅位居前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位的城市为银川、长春、昆明、呼和浩特、贵阳、桂林、秦皇岛、成都、沈阳和珠海，其中银川降幅最大为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13.40%;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平均出租率同比增长位居前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位的城市为丽江、成都、桂林、贵阳、昆明、杭州、石家庄、乌鲁木齐、南宁和上海，其中丽江增幅最大为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33.69%;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降幅位居前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位的城市合肥、长春、珠海、太原、温州、银川、泉州、济南、哈尔滨和西宁，其中合肥降幅最大为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13.15%;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每间可供出租客房收入增幅位居前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位的城市为丽江、三亚、福州、宜昌、上海、杭州、深圳、石家庄、乌鲁木齐和成都，其中丽江增幅最大为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51.63%;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降幅位居前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位的城市为长春、银川、合肥、珠海、太原、哈尔滨、泉州、秦皇岛、沈阳和西宁，其中长春降幅最大为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18.83%;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每间客房平摊营业收入同比增长增幅位居前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位的城市为广州、丽江、三亚、深圳、石家庄、温州、成都、宜昌、乌鲁木齐和福州，其中广州增幅最大为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45.73%;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降幅位居前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10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位的城市为长春、哈尔滨、合肥、珠海、秦皇岛、泉州、太原、青岛、银川和桂林，其中长春降幅</w:t>
      </w:r>
      <w:r>
        <w:rPr>
          <w:noProof/>
        </w:rPr>
        <w:pict>
          <v:shape id="_x0000_s1031" type="#_x0000_t75" style="position:absolute;left:0;text-align:left;margin-left:-27pt;margin-top:202.8pt;width:487.8pt;height:242.4pt;z-index:251659264;mso-position-horizontal-relative:text;mso-position-vertical-relative:text">
            <v:imagedata r:id="rId9" o:title=""/>
            <w10:wrap type="square"/>
          </v:shape>
        </w:pic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最大为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24.00%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以上排序城市不包括填报率不足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60%</w:t>
      </w:r>
      <w:r w:rsidRPr="000164CD">
        <w:rPr>
          <w:rFonts w:ascii="宋体" w:hAnsi="宋体" w:cs="宋体" w:hint="eastAsia"/>
          <w:color w:val="000000"/>
          <w:kern w:val="0"/>
          <w:sz w:val="24"/>
          <w:szCs w:val="24"/>
        </w:rPr>
        <w:t>的郑州、洛阳两市</w:t>
      </w:r>
      <w:r w:rsidRPr="000164CD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2E6CB2" w:rsidRPr="00820B0A" w:rsidRDefault="002E6CB2" w:rsidP="000164CD">
      <w:pPr>
        <w:widowControl/>
        <w:spacing w:before="100" w:beforeAutospacing="1" w:after="100" w:afterAutospacing="1"/>
        <w:jc w:val="left"/>
        <w:rPr>
          <w:rFonts w:ascii="Simsun" w:hAnsi="Simsun" w:cs="Simsun"/>
          <w:color w:val="000000"/>
          <w:kern w:val="0"/>
        </w:rPr>
      </w:pPr>
    </w:p>
    <w:sectPr w:rsidR="002E6CB2" w:rsidRPr="00820B0A" w:rsidSect="004F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4CD"/>
    <w:rsid w:val="000164CD"/>
    <w:rsid w:val="00115DDA"/>
    <w:rsid w:val="00205BD0"/>
    <w:rsid w:val="002B2E00"/>
    <w:rsid w:val="002E6CB2"/>
    <w:rsid w:val="004523AC"/>
    <w:rsid w:val="004F571B"/>
    <w:rsid w:val="005D008D"/>
    <w:rsid w:val="0064433C"/>
    <w:rsid w:val="00820B0A"/>
    <w:rsid w:val="00B76833"/>
    <w:rsid w:val="00D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208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462</Words>
  <Characters>2640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walkinnet</cp:lastModifiedBy>
  <cp:revision>3</cp:revision>
  <dcterms:created xsi:type="dcterms:W3CDTF">2016-12-16T01:36:00Z</dcterms:created>
  <dcterms:modified xsi:type="dcterms:W3CDTF">2016-12-16T03:14:00Z</dcterms:modified>
</cp:coreProperties>
</file>